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18DC5">
      <w:pPr>
        <w:spacing w:line="580" w:lineRule="exact"/>
        <w:jc w:val="center"/>
        <w:rPr>
          <w:rFonts w:ascii="Times New Roman" w:hAnsi="Times New Roman" w:eastAsia="方正小标宋_GBK"/>
          <w:sz w:val="32"/>
          <w:szCs w:val="32"/>
        </w:rPr>
      </w:pPr>
      <w:bookmarkStart w:id="0" w:name="_Toc508803920"/>
      <w:bookmarkStart w:id="1" w:name="_Toc508790200"/>
      <w:bookmarkStart w:id="2" w:name="_Toc531877274"/>
      <w:r>
        <w:rPr>
          <w:rFonts w:hint="eastAsia" w:ascii="Times New Roman" w:hAnsi="Times New Roman" w:eastAsia="方正小标宋_GBK"/>
          <w:sz w:val="32"/>
          <w:szCs w:val="32"/>
        </w:rPr>
        <w:t>无锡市知识产权保护中心</w:t>
      </w:r>
    </w:p>
    <w:p w14:paraId="4551F630">
      <w:pPr>
        <w:spacing w:line="580" w:lineRule="exact"/>
        <w:jc w:val="center"/>
        <w:rPr>
          <w:rFonts w:ascii="Times New Roman" w:hAnsi="Times New Roman" w:eastAsia="方正小标宋_GBK"/>
          <w:sz w:val="32"/>
          <w:szCs w:val="32"/>
        </w:rPr>
      </w:pPr>
      <w:r>
        <w:rPr>
          <w:rFonts w:hint="eastAsia" w:ascii="Times New Roman" w:hAnsi="Times New Roman" w:eastAsia="方正小标宋_GBK"/>
          <w:sz w:val="32"/>
          <w:szCs w:val="32"/>
        </w:rPr>
        <w:t>预审承诺书（试行）</w:t>
      </w:r>
      <w:bookmarkEnd w:id="0"/>
      <w:bookmarkEnd w:id="1"/>
      <w:bookmarkEnd w:id="2"/>
      <w:bookmarkStart w:id="3" w:name="_GoBack"/>
      <w:bookmarkEnd w:id="3"/>
    </w:p>
    <w:p w14:paraId="36BD94BE">
      <w:pPr>
        <w:spacing w:line="560" w:lineRule="exact"/>
        <w:ind w:firstLine="482" w:firstLineChars="200"/>
        <w:rPr>
          <w:rFonts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lang w:bidi="ar"/>
        </w:rPr>
        <w:t>申</w:t>
      </w:r>
      <w:r>
        <w:rPr>
          <w:rFonts w:hint="eastAsia" w:ascii="方正仿宋_GBK" w:hAnsi="方正仿宋_GBK" w:eastAsia="方正仿宋_GBK" w:cs="方正仿宋_GBK"/>
          <w:b/>
          <w:sz w:val="24"/>
          <w:szCs w:val="24"/>
          <w:lang w:bidi="ar"/>
        </w:rPr>
        <w:t>请人现将名称为</w:t>
      </w:r>
      <w:r>
        <w:rPr>
          <w:rFonts w:hint="eastAsia" w:ascii="方正仿宋_GBK" w:hAnsi="方正仿宋_GBK" w:eastAsia="方正仿宋_GBK" w:cs="方正仿宋_GBK"/>
          <w:b/>
          <w:sz w:val="24"/>
          <w:szCs w:val="24"/>
          <w:u w:val="single"/>
          <w:lang w:bidi="ar"/>
        </w:rPr>
        <w:t xml:space="preserve">                       </w:t>
      </w:r>
      <w:r>
        <w:rPr>
          <w:rFonts w:hint="eastAsia" w:ascii="方正仿宋_GBK" w:hAnsi="方正仿宋_GBK" w:eastAsia="方正仿宋_GBK" w:cs="方正仿宋_GBK"/>
          <w:b/>
          <w:sz w:val="24"/>
          <w:szCs w:val="24"/>
          <w:lang w:bidi="ar"/>
        </w:rPr>
        <w:t>的专利申请提交，请求获得无锡市知识产权保护中心的快速审查服务。申请人自愿遵守如下事项：</w:t>
      </w:r>
    </w:p>
    <w:p w14:paraId="05703EC8">
      <w:pPr>
        <w:spacing w:line="56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bidi="ar"/>
        </w:rPr>
        <w:t>一、申请人承诺将通过电子客户端或交互式平台提交符合格式要求(XML格式)的申请文件。</w:t>
      </w:r>
    </w:p>
    <w:p w14:paraId="61A87C01">
      <w:pPr>
        <w:spacing w:line="56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bidi="ar"/>
        </w:rPr>
        <w:t>二、申请人承诺在申请日或次日完成下列费用的网上足额缴费：申请费（含附加费）、公布印刷费（仅限发明专利申请）、实质审查费（仅限发明专利申请）。</w:t>
      </w:r>
    </w:p>
    <w:p w14:paraId="3D029DC9">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kern w:val="0"/>
          <w:sz w:val="24"/>
          <w:szCs w:val="24"/>
          <w:lang w:bidi="ar"/>
        </w:rPr>
        <w:t>三、对于发明专利申请，申请人承诺在请求书中选择“请求早日公布该专利申请”，在提交专利申请的</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同时提交实质审查请求书，以及申请日前与发明有关的参考资料。</w:t>
      </w:r>
    </w:p>
    <w:p w14:paraId="59D903E1">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四、申请人承诺将保证申请文件的质量，在提交申请时，尽可能使申请文件符合《专利法实施细则》第</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五十</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条规定的初步审查的要求。</w:t>
      </w:r>
    </w:p>
    <w:p w14:paraId="532FE9E0">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五、申请人承诺在提交预审申请前对照无锡市知识产权保护中心预审案件自检表对申请文件进行自查，使申请文件符合预审要求。</w:t>
      </w:r>
    </w:p>
    <w:p w14:paraId="31D6949D">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六、申请人承诺对于根据《专利法实施细则》第二十</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七</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条的规定需要对生物材料提交保藏的专利申请，在申请时提交保藏单位出具的保藏证明和存活证明。对于根据《专利法》第二十四条和《专利法实施细则》第三十</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三</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条第三款的需要提交证明文件的情形，相关证明文件将在申请日一并提交。</w:t>
      </w:r>
    </w:p>
    <w:p w14:paraId="523E7B3D">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七、申请人承诺不提交《专利法》第九条第一款所规定的同一申请人同日对同样的发明创造的另一实用新型专利或发明专利、分案申请和根据《专利法实施细则》第七条所规定的需要进行保密审查的申请。</w:t>
      </w:r>
    </w:p>
    <w:p w14:paraId="02D4C7A3">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八、申请人承诺对同一专利申请不进行重复提交。</w:t>
      </w:r>
    </w:p>
    <w:p w14:paraId="6A88FF5E">
      <w:pPr>
        <w:spacing w:line="560" w:lineRule="exact"/>
        <w:ind w:firstLine="480" w:firstLineChars="200"/>
        <w:rPr>
          <w:rFonts w:ascii="方正仿宋_GBK" w:hAnsi="方正仿宋_GBK" w:eastAsia="方正仿宋_GBK" w:cs="方正仿宋_GBK"/>
          <w:color w:val="000000" w:themeColor="text1"/>
          <w:kern w:val="0"/>
          <w:sz w:val="24"/>
          <w:szCs w:val="24"/>
          <w:highlight w:val="yellow"/>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九、申请人承诺不提交《关于规范申请专利行为的</w:t>
      </w:r>
      <w:r>
        <w:rPr>
          <w:rFonts w:hint="eastAsia" w:ascii="方正仿宋_GBK" w:hAnsi="方正仿宋_GBK" w:eastAsia="方正仿宋_GBK" w:cs="方正仿宋_GBK"/>
          <w:color w:val="000000" w:themeColor="text1"/>
          <w:kern w:val="0"/>
          <w:sz w:val="24"/>
          <w:szCs w:val="24"/>
          <w:lang w:eastAsia="zh-CN" w:bidi="ar"/>
          <w14:textFill>
            <w14:solidFill>
              <w14:schemeClr w14:val="tx1"/>
            </w14:solidFill>
          </w14:textFill>
        </w:rPr>
        <w:t>规定</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lang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023</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）中第</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三</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条规定的八种情形。</w:t>
      </w:r>
    </w:p>
    <w:p w14:paraId="449D88B5">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十、对于发明专利申请，针对专利局发出第一、二次审查意见通知书，申请人承诺分别在10</w:t>
      </w:r>
      <w:r>
        <w:rPr>
          <w:rFonts w:hint="eastAsia" w:ascii="方正仿宋_GBK" w:hAnsi="方正仿宋_GBK" w:eastAsia="方正仿宋_GBK" w:cs="方正仿宋_GBK"/>
          <w:color w:val="000000" w:themeColor="text1"/>
          <w:kern w:val="0"/>
          <w:sz w:val="24"/>
          <w:szCs w:val="24"/>
          <w:lang w:eastAsia="zh-CN" w:bidi="ar"/>
          <w14:textFill>
            <w14:solidFill>
              <w14:schemeClr w14:val="tx1"/>
            </w14:solidFill>
          </w14:textFill>
        </w:rPr>
        <w:t>天</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、5</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天</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内提交答复意见。</w:t>
      </w:r>
    </w:p>
    <w:p w14:paraId="7D02BD7F">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十一、对于实用新型专利申请，针对专利局发出的审查意见通知书，申请人承诺5个工作日提交答复意见。</w:t>
      </w:r>
    </w:p>
    <w:p w14:paraId="1E22C6E9">
      <w:pPr>
        <w:spacing w:line="56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十二、在审查过程中，申请人自愿放弃《专利法实施细则》第五十</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七</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条</w:t>
      </w:r>
      <w:r>
        <w:rPr>
          <w:rFonts w:hint="eastAsia" w:ascii="方正仿宋_GBK" w:hAnsi="方正仿宋_GBK" w:eastAsia="方正仿宋_GBK" w:cs="方正仿宋_GBK"/>
          <w:kern w:val="0"/>
          <w:sz w:val="24"/>
          <w:szCs w:val="24"/>
          <w:lang w:bidi="ar"/>
        </w:rPr>
        <w:t>第一款和第二款所规定的对申请进行主动修改的权利。</w:t>
      </w:r>
    </w:p>
    <w:p w14:paraId="04C2EEAA">
      <w:pPr>
        <w:spacing w:line="56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bidi="ar"/>
        </w:rPr>
        <w:t>十三、在专利申请授权公告前，申请人自愿放弃提出著录项目变更请求的权利。</w:t>
      </w:r>
    </w:p>
    <w:p w14:paraId="3EA2034E">
      <w:pPr>
        <w:spacing w:line="56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bidi="ar"/>
        </w:rPr>
        <w:t>十四、对于审查员提出的电话讨论或当面讨论的约请，申请人将积极予以配合。</w:t>
      </w:r>
    </w:p>
    <w:p w14:paraId="653E6BE9">
      <w:pPr>
        <w:spacing w:line="560" w:lineRule="exact"/>
        <w:ind w:firstLine="480" w:firstLineChars="200"/>
        <w:rPr>
          <w:rFonts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十五、申请人知悉专利申请须知及承诺书内容，并自愿承担有关的法律风险，包括例如抵触申请带来的专利权不稳定性。对于在申请时和审查过程中放弃的权益和机会，申请人将不会在后续法律程序中主张享有。</w:t>
      </w:r>
    </w:p>
    <w:p w14:paraId="1F09BB9E">
      <w:pPr>
        <w:spacing w:line="560" w:lineRule="exact"/>
        <w:ind w:firstLine="480" w:firstLineChars="200"/>
        <w:rPr>
          <w:rFonts w:ascii="方正仿宋_GBK" w:hAnsi="方正仿宋_GBK" w:eastAsia="方正仿宋_GBK" w:cs="方正仿宋_GBK"/>
          <w:kern w:val="0"/>
          <w:sz w:val="24"/>
          <w:szCs w:val="24"/>
          <w:lang w:bidi="ar"/>
        </w:rPr>
      </w:pPr>
    </w:p>
    <w:p w14:paraId="424BCDD0">
      <w:pPr>
        <w:spacing w:line="560" w:lineRule="exact"/>
        <w:ind w:left="4830" w:leftChars="23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bidi="ar"/>
        </w:rPr>
        <w:t>申请人（盖章）：</w:t>
      </w:r>
      <w:r>
        <w:rPr>
          <w:rFonts w:hint="eastAsia" w:ascii="方正仿宋_GBK" w:hAnsi="方正仿宋_GBK" w:eastAsia="方正仿宋_GBK" w:cs="方正仿宋_GBK"/>
          <w:kern w:val="0"/>
          <w:sz w:val="24"/>
          <w:szCs w:val="24"/>
          <w:u w:val="single"/>
          <w:lang w:bidi="ar"/>
        </w:rPr>
        <w:t xml:space="preserve">                 </w:t>
      </w:r>
    </w:p>
    <w:p w14:paraId="0C159065">
      <w:pPr>
        <w:spacing w:line="560" w:lineRule="exact"/>
        <w:ind w:left="4830" w:leftChars="2300"/>
        <w:rPr>
          <w:rFonts w:ascii="方正仿宋_GBK" w:hAnsi="方正仿宋_GBK" w:eastAsia="方正仿宋_GBK" w:cs="方正仿宋_GBK"/>
        </w:rPr>
      </w:pPr>
      <w:r>
        <w:rPr>
          <w:rFonts w:hint="eastAsia" w:ascii="方正仿宋_GBK" w:hAnsi="方正仿宋_GBK" w:eastAsia="方正仿宋_GBK" w:cs="方正仿宋_GBK"/>
          <w:kern w:val="0"/>
          <w:sz w:val="24"/>
          <w:szCs w:val="24"/>
          <w:lang w:bidi="ar"/>
        </w:rPr>
        <w:t>时  间：</w:t>
      </w:r>
      <w:r>
        <w:rPr>
          <w:rFonts w:hint="eastAsia" w:ascii="方正仿宋_GBK" w:hAnsi="方正仿宋_GBK" w:eastAsia="方正仿宋_GBK" w:cs="方正仿宋_GBK"/>
          <w:kern w:val="0"/>
          <w:sz w:val="24"/>
          <w:szCs w:val="24"/>
          <w:u w:val="single"/>
          <w:lang w:bidi="ar"/>
        </w:rPr>
        <w:t xml:space="preserve">                        </w:t>
      </w:r>
      <w:r>
        <w:rPr>
          <w:rFonts w:hint="eastAsia" w:ascii="方正仿宋_GBK" w:hAnsi="方正仿宋_GBK" w:eastAsia="方正仿宋_GBK" w:cs="方正仿宋_GBK"/>
          <w:kern w:val="0"/>
          <w:szCs w:val="24"/>
          <w:u w:val="single"/>
          <w:lang w:bidi="ar"/>
        </w:rPr>
        <w:t xml:space="preserve"> </w:t>
      </w:r>
    </w:p>
    <w:p w14:paraId="18C226D0"/>
    <w:sectPr>
      <w:headerReference r:id="rId3" w:type="default"/>
      <w:pgSz w:w="11906" w:h="16838"/>
      <w:pgMar w:top="1984" w:right="1361"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1DAB">
    <w:pPr>
      <w:pStyle w:val="3"/>
      <w:jc w:val="right"/>
      <w:rPr>
        <w:rFonts w:hint="eastAsia" w:ascii="黑体" w:hAnsi="黑体" w:eastAsia="黑体" w:cs="黑体"/>
        <w:sz w:val="21"/>
        <w:szCs w:val="28"/>
        <w:lang w:val="en-US" w:eastAsia="zh-CN"/>
      </w:rPr>
    </w:pPr>
    <w:r>
      <w:rPr>
        <w:rFonts w:hint="eastAsia" w:ascii="黑体" w:hAnsi="黑体" w:eastAsia="黑体" w:cs="黑体"/>
        <w:sz w:val="21"/>
        <w:szCs w:val="28"/>
        <w:lang w:val="en-US" w:eastAsia="zh-CN"/>
      </w:rPr>
      <w:t>2025版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Yjk5ZWZkNDRlNGEzMGIyMjg5YzYxNTRkOTk5NTcifQ=="/>
  </w:docVars>
  <w:rsids>
    <w:rsidRoot w:val="683F32D5"/>
    <w:rsid w:val="00617735"/>
    <w:rsid w:val="00BA1B52"/>
    <w:rsid w:val="07B44628"/>
    <w:rsid w:val="194A0C36"/>
    <w:rsid w:val="1A85223C"/>
    <w:rsid w:val="230273F6"/>
    <w:rsid w:val="2E672206"/>
    <w:rsid w:val="43BB7466"/>
    <w:rsid w:val="43FC261B"/>
    <w:rsid w:val="4FB141B6"/>
    <w:rsid w:val="5C0357B6"/>
    <w:rsid w:val="5E33192C"/>
    <w:rsid w:val="683F32D5"/>
    <w:rsid w:val="74B8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表标题"/>
    <w:basedOn w:val="1"/>
    <w:next w:val="1"/>
    <w:autoRedefine/>
    <w:qFormat/>
    <w:uiPriority w:val="0"/>
    <w:pPr>
      <w:widowControl/>
      <w:tabs>
        <w:tab w:val="left" w:pos="360"/>
      </w:tabs>
      <w:spacing w:before="156" w:beforeLines="50" w:after="156" w:afterLines="50"/>
      <w:jc w:val="center"/>
    </w:pPr>
    <w:rPr>
      <w:rFonts w:hint="eastAsia" w:ascii="黑体" w:hAnsi="Times New Roman" w:eastAsia="黑体"/>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979</Words>
  <Characters>986</Characters>
  <Lines>7</Lines>
  <Paragraphs>2</Paragraphs>
  <TotalTime>61</TotalTime>
  <ScaleCrop>false</ScaleCrop>
  <LinksUpToDate>false</LinksUpToDate>
  <CharactersWithSpaces>1053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2023-06-01T08:55:00Z</dcterms:created>
  <dc:creator>。</dc:creator>
  <cp:lastModifiedBy>。</cp:lastModifiedBy>
  <cp:lastPrinted>2023-12-26T08:44:00Z</cp:lastPrinted>
  <dcterms:modified xsi:type="dcterms:W3CDTF">2025-08-25T06:15:23Z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0FDDB51EB70B453B8C998544B0A63395_13</vt:lpwstr>
  </property>
  <property fmtid="{D5CDD505-2E9C-101B-9397-08002B2CF9AE}" pid="4" name="KSOTemplateDocerSaveRecord">
    <vt:lpwstr>eyJoZGlkIjoiMDQxNmJjNGQwMmM2MzZjMWMzMDM3NzdiNzUyMWJjYmMiLCJ1c2VySWQiOiI3NTU4MTc0MjQifQ==</vt:lpwstr>
  </property>
</Properties>
</file>